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«30100 - Медицина ғылымдары»</w:t>
      </w:r>
      <w:r w:rsidDel="00000000" w:rsidR="00000000" w:rsidRPr="00000000">
        <w:rPr>
          <w:rFonts w:ascii="Courier New" w:cs="Courier New" w:eastAsia="Courier New" w:hAnsi="Courier New"/>
          <w:color w:val="000000"/>
          <w:sz w:val="20"/>
          <w:szCs w:val="20"/>
          <w:highlight w:val="white"/>
          <w:rtl w:val="0"/>
        </w:rPr>
        <w:t xml:space="preserve"> </w:t>
      </w:r>
      <w:r w:rsidDel="00000000" w:rsidR="00000000" w:rsidRPr="00000000">
        <w:rPr>
          <w:rtl w:val="0"/>
        </w:rPr>
        <w:t xml:space="preserve">ғылыми бағыты бойынша қауымдастырылған профессор ғылыми атағын алу үшін ізденуші туралы</w:t>
      </w:r>
    </w:p>
    <w:p w:rsidR="00000000" w:rsidDel="00000000" w:rsidP="00000000" w:rsidRDefault="00000000" w:rsidRPr="00000000" w14:paraId="00000002">
      <w:pPr>
        <w:jc w:val="center"/>
        <w:rPr/>
      </w:pPr>
      <w:r w:rsidDel="00000000" w:rsidR="00000000" w:rsidRPr="00000000">
        <w:rPr>
          <w:rtl w:val="0"/>
        </w:rPr>
        <w:t xml:space="preserve">Анықтама</w:t>
      </w:r>
    </w:p>
    <w:p w:rsidR="00000000" w:rsidDel="00000000" w:rsidP="00000000" w:rsidRDefault="00000000" w:rsidRPr="00000000" w14:paraId="00000003">
      <w:pPr>
        <w:jc w:val="center"/>
        <w:rPr>
          <w:sz w:val="20"/>
          <w:szCs w:val="20"/>
        </w:rPr>
      </w:pPr>
      <w:r w:rsidDel="00000000" w:rsidR="00000000" w:rsidRPr="00000000">
        <w:rPr>
          <w:rtl w:val="0"/>
        </w:rPr>
      </w:r>
    </w:p>
    <w:tbl>
      <w:tblPr>
        <w:tblStyle w:val="Table1"/>
        <w:tblpPr w:leftFromText="180" w:rightFromText="180" w:topFromText="0" w:bottomFromText="0" w:vertAnchor="text" w:horzAnchor="text" w:tblpX="0" w:tblpY="1"/>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1"/>
        <w:gridCol w:w="4536"/>
        <w:gridCol w:w="5244"/>
        <w:tblGridChange w:id="0">
          <w:tblGrid>
            <w:gridCol w:w="421"/>
            <w:gridCol w:w="4536"/>
            <w:gridCol w:w="5244"/>
          </w:tblGrid>
        </w:tblGridChange>
      </w:tblGrid>
      <w:tr>
        <w:trPr>
          <w:cantSplit w:val="0"/>
          <w:trHeight w:val="418" w:hRule="atLeast"/>
          <w:tblHeader w:val="0"/>
        </w:trPr>
        <w:tc>
          <w:tcPr>
            <w:shd w:fill="auto" w:val="clear"/>
          </w:tcPr>
          <w:p w:rsidR="00000000" w:rsidDel="00000000" w:rsidP="00000000" w:rsidRDefault="00000000" w:rsidRPr="00000000" w14:paraId="00000004">
            <w:pPr>
              <w:rPr>
                <w:sz w:val="20"/>
                <w:szCs w:val="20"/>
              </w:rPr>
            </w:pPr>
            <w:r w:rsidDel="00000000" w:rsidR="00000000" w:rsidRPr="00000000">
              <w:rPr>
                <w:sz w:val="20"/>
                <w:szCs w:val="20"/>
                <w:rtl w:val="0"/>
              </w:rPr>
              <w:t xml:space="preserve">1</w:t>
            </w:r>
          </w:p>
        </w:tc>
        <w:tc>
          <w:tcPr>
            <w:shd w:fill="auto" w:val="clear"/>
            <w:vAlign w:val="center"/>
          </w:tcPr>
          <w:p w:rsidR="00000000" w:rsidDel="00000000" w:rsidP="00000000" w:rsidRDefault="00000000" w:rsidRPr="00000000" w14:paraId="00000005">
            <w:pPr>
              <w:rPr>
                <w:sz w:val="20"/>
                <w:szCs w:val="20"/>
              </w:rPr>
            </w:pPr>
            <w:r w:rsidDel="00000000" w:rsidR="00000000" w:rsidRPr="00000000">
              <w:rPr>
                <w:sz w:val="20"/>
                <w:szCs w:val="20"/>
                <w:rtl w:val="0"/>
              </w:rPr>
              <w:t xml:space="preserve">Тегі, аты, әкесінің аты (болған жағдайда)</w:t>
            </w:r>
          </w:p>
        </w:tc>
        <w:tc>
          <w:tcPr>
            <w:shd w:fill="auto" w:val="clear"/>
            <w:vAlign w:val="center"/>
          </w:tcPr>
          <w:p w:rsidR="00000000" w:rsidDel="00000000" w:rsidP="00000000" w:rsidRDefault="00000000" w:rsidRPr="00000000" w14:paraId="00000006">
            <w:pPr>
              <w:rPr>
                <w:sz w:val="20"/>
                <w:szCs w:val="20"/>
              </w:rPr>
            </w:pPr>
            <w:r w:rsidDel="00000000" w:rsidR="00000000" w:rsidRPr="00000000">
              <w:rPr>
                <w:sz w:val="20"/>
                <w:szCs w:val="20"/>
                <w:rtl w:val="0"/>
              </w:rPr>
              <w:t xml:space="preserve">Сарсенова Лаззат Кадиргалиевна </w:t>
            </w:r>
          </w:p>
        </w:tc>
      </w:tr>
      <w:tr>
        <w:trPr>
          <w:cantSplit w:val="0"/>
          <w:tblHeader w:val="0"/>
        </w:trPr>
        <w:tc>
          <w:tcPr>
            <w:shd w:fill="auto" w:val="clear"/>
          </w:tcPr>
          <w:p w:rsidR="00000000" w:rsidDel="00000000" w:rsidP="00000000" w:rsidRDefault="00000000" w:rsidRPr="00000000" w14:paraId="00000007">
            <w:pPr>
              <w:rPr>
                <w:sz w:val="20"/>
                <w:szCs w:val="20"/>
              </w:rPr>
            </w:pPr>
            <w:r w:rsidDel="00000000" w:rsidR="00000000" w:rsidRPr="00000000">
              <w:rPr>
                <w:sz w:val="20"/>
                <w:szCs w:val="20"/>
                <w:rtl w:val="0"/>
              </w:rPr>
              <w:t xml:space="preserve">2</w:t>
            </w:r>
          </w:p>
        </w:tc>
        <w:tc>
          <w:tcPr>
            <w:shd w:fill="auto" w:val="clear"/>
          </w:tcPr>
          <w:p w:rsidR="00000000" w:rsidDel="00000000" w:rsidP="00000000" w:rsidRDefault="00000000" w:rsidRPr="00000000" w14:paraId="00000008">
            <w:pPr>
              <w:jc w:val="both"/>
              <w:rPr>
                <w:sz w:val="20"/>
                <w:szCs w:val="20"/>
              </w:rPr>
            </w:pPr>
            <w:r w:rsidDel="00000000" w:rsidR="00000000" w:rsidRPr="00000000">
              <w:rPr>
                <w:sz w:val="20"/>
                <w:szCs w:val="20"/>
                <w:rtl w:val="0"/>
              </w:rPr>
              <w:t xml:space="preserve">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shd w:fill="auto" w:val="clear"/>
          </w:tcPr>
          <w:p w:rsidR="00000000" w:rsidDel="00000000" w:rsidP="00000000" w:rsidRDefault="00000000" w:rsidRPr="00000000" w14:paraId="00000009">
            <w:pPr>
              <w:jc w:val="both"/>
              <w:rPr>
                <w:sz w:val="20"/>
                <w:szCs w:val="20"/>
              </w:rPr>
            </w:pPr>
            <w:r w:rsidDel="00000000" w:rsidR="00000000" w:rsidRPr="00000000">
              <w:rPr>
                <w:sz w:val="20"/>
                <w:szCs w:val="20"/>
                <w:rtl w:val="0"/>
              </w:rPr>
              <w:t xml:space="preserve">«Биология ғылымдарының кандидаты» ҚР БҒМ БҒСБК шешімімен 2011 ж. 14 маусым № 5 протокол,</w:t>
            </w:r>
            <w:r w:rsidDel="00000000" w:rsidR="00000000" w:rsidRPr="00000000">
              <w:rPr>
                <w:sz w:val="20"/>
                <w:szCs w:val="20"/>
                <w:rtl w:val="0"/>
              </w:rPr>
              <w:t xml:space="preserve"> бұйрық</w:t>
            </w:r>
          </w:p>
          <w:p w:rsidR="00000000" w:rsidDel="00000000" w:rsidP="00000000" w:rsidRDefault="00000000" w:rsidRPr="00000000" w14:paraId="0000000A">
            <w:pPr>
              <w:jc w:val="both"/>
              <w:rPr>
                <w:sz w:val="20"/>
                <w:szCs w:val="20"/>
              </w:rPr>
            </w:pPr>
            <w:r w:rsidDel="00000000" w:rsidR="00000000" w:rsidRPr="00000000">
              <w:rPr>
                <w:sz w:val="20"/>
                <w:szCs w:val="20"/>
                <w:rtl w:val="0"/>
              </w:rPr>
              <w:t xml:space="preserve">ҒК № 0005973</w:t>
            </w:r>
          </w:p>
        </w:tc>
      </w:tr>
      <w:tr>
        <w:trPr>
          <w:cantSplit w:val="0"/>
          <w:tblHeader w:val="0"/>
        </w:trPr>
        <w:tc>
          <w:tcPr>
            <w:shd w:fill="auto" w:val="clear"/>
          </w:tcPr>
          <w:p w:rsidR="00000000" w:rsidDel="00000000" w:rsidP="00000000" w:rsidRDefault="00000000" w:rsidRPr="00000000" w14:paraId="0000000B">
            <w:pPr>
              <w:rPr>
                <w:sz w:val="20"/>
                <w:szCs w:val="20"/>
              </w:rPr>
            </w:pPr>
            <w:r w:rsidDel="00000000" w:rsidR="00000000" w:rsidRPr="00000000">
              <w:rPr>
                <w:sz w:val="20"/>
                <w:szCs w:val="20"/>
                <w:rtl w:val="0"/>
              </w:rPr>
              <w:t xml:space="preserve">3</w:t>
            </w:r>
          </w:p>
        </w:tc>
        <w:tc>
          <w:tcPr>
            <w:shd w:fill="auto" w:val="clear"/>
          </w:tcPr>
          <w:p w:rsidR="00000000" w:rsidDel="00000000" w:rsidP="00000000" w:rsidRDefault="00000000" w:rsidRPr="00000000" w14:paraId="0000000C">
            <w:pPr>
              <w:jc w:val="both"/>
              <w:rPr>
                <w:sz w:val="20"/>
                <w:szCs w:val="20"/>
              </w:rPr>
            </w:pPr>
            <w:r w:rsidDel="00000000" w:rsidR="00000000" w:rsidRPr="00000000">
              <w:rPr>
                <w:sz w:val="20"/>
                <w:szCs w:val="20"/>
                <w:rtl w:val="0"/>
              </w:rPr>
              <w:t xml:space="preserve">Ғылыми атақ, берілген уақыты</w:t>
            </w:r>
          </w:p>
        </w:tc>
        <w:tc>
          <w:tcPr>
            <w:shd w:fill="auto" w:val="clear"/>
          </w:tcPr>
          <w:p w:rsidR="00000000" w:rsidDel="00000000" w:rsidP="00000000" w:rsidRDefault="00000000" w:rsidRPr="00000000" w14:paraId="0000000D">
            <w:pPr>
              <w:jc w:val="both"/>
              <w:rPr>
                <w:sz w:val="20"/>
                <w:szCs w:val="20"/>
              </w:rPr>
            </w:pPr>
            <w:r w:rsidDel="00000000" w:rsidR="00000000" w:rsidRPr="00000000">
              <w:rPr>
                <w:sz w:val="20"/>
                <w:szCs w:val="20"/>
                <w:rtl w:val="0"/>
              </w:rPr>
              <w:t xml:space="preserve">-</w:t>
            </w:r>
          </w:p>
        </w:tc>
      </w:tr>
      <w:tr>
        <w:trPr>
          <w:cantSplit w:val="0"/>
          <w:tblHeader w:val="0"/>
        </w:trPr>
        <w:tc>
          <w:tcPr>
            <w:shd w:fill="auto" w:val="clear"/>
          </w:tcPr>
          <w:p w:rsidR="00000000" w:rsidDel="00000000" w:rsidP="00000000" w:rsidRDefault="00000000" w:rsidRPr="00000000" w14:paraId="0000000E">
            <w:pPr>
              <w:rPr>
                <w:sz w:val="20"/>
                <w:szCs w:val="20"/>
              </w:rPr>
            </w:pPr>
            <w:r w:rsidDel="00000000" w:rsidR="00000000" w:rsidRPr="00000000">
              <w:rPr>
                <w:sz w:val="20"/>
                <w:szCs w:val="20"/>
                <w:rtl w:val="0"/>
              </w:rPr>
              <w:t xml:space="preserve">4</w:t>
            </w:r>
          </w:p>
        </w:tc>
        <w:tc>
          <w:tcPr>
            <w:shd w:fill="auto" w:val="clear"/>
          </w:tcPr>
          <w:p w:rsidR="00000000" w:rsidDel="00000000" w:rsidP="00000000" w:rsidRDefault="00000000" w:rsidRPr="00000000" w14:paraId="0000000F">
            <w:pPr>
              <w:jc w:val="both"/>
              <w:rPr>
                <w:sz w:val="20"/>
                <w:szCs w:val="20"/>
              </w:rPr>
            </w:pPr>
            <w:r w:rsidDel="00000000" w:rsidR="00000000" w:rsidRPr="00000000">
              <w:rPr>
                <w:sz w:val="20"/>
                <w:szCs w:val="20"/>
                <w:rtl w:val="0"/>
              </w:rPr>
              <w:t xml:space="preserve">Құрметті атақ, берілген уақыты</w:t>
            </w:r>
          </w:p>
        </w:tc>
        <w:tc>
          <w:tcPr>
            <w:shd w:fill="auto" w:val="clear"/>
          </w:tcPr>
          <w:p w:rsidR="00000000" w:rsidDel="00000000" w:rsidP="00000000" w:rsidRDefault="00000000" w:rsidRPr="00000000" w14:paraId="00000010">
            <w:pPr>
              <w:jc w:val="both"/>
              <w:rPr>
                <w:sz w:val="20"/>
                <w:szCs w:val="20"/>
              </w:rPr>
            </w:pPr>
            <w:r w:rsidDel="00000000" w:rsidR="00000000" w:rsidRPr="00000000">
              <w:rPr>
                <w:sz w:val="20"/>
                <w:szCs w:val="20"/>
                <w:rtl w:val="0"/>
              </w:rPr>
              <w:t xml:space="preserve">-</w:t>
            </w:r>
          </w:p>
        </w:tc>
      </w:tr>
      <w:tr>
        <w:trPr>
          <w:cantSplit w:val="0"/>
          <w:tblHeader w:val="0"/>
        </w:trPr>
        <w:tc>
          <w:tcPr>
            <w:shd w:fill="auto" w:val="clear"/>
          </w:tcPr>
          <w:p w:rsidR="00000000" w:rsidDel="00000000" w:rsidP="00000000" w:rsidRDefault="00000000" w:rsidRPr="00000000" w14:paraId="00000011">
            <w:pPr>
              <w:rPr>
                <w:sz w:val="20"/>
                <w:szCs w:val="20"/>
              </w:rPr>
            </w:pPr>
            <w:r w:rsidDel="00000000" w:rsidR="00000000" w:rsidRPr="00000000">
              <w:rPr>
                <w:sz w:val="20"/>
                <w:szCs w:val="20"/>
                <w:rtl w:val="0"/>
              </w:rPr>
              <w:t xml:space="preserve">5</w:t>
            </w:r>
          </w:p>
        </w:tc>
        <w:tc>
          <w:tcPr>
            <w:shd w:fill="auto" w:val="clear"/>
          </w:tcPr>
          <w:p w:rsidR="00000000" w:rsidDel="00000000" w:rsidP="00000000" w:rsidRDefault="00000000" w:rsidRPr="00000000" w14:paraId="00000012">
            <w:pPr>
              <w:jc w:val="both"/>
              <w:rPr>
                <w:sz w:val="20"/>
                <w:szCs w:val="20"/>
              </w:rPr>
            </w:pPr>
            <w:r w:rsidDel="00000000" w:rsidR="00000000" w:rsidRPr="00000000">
              <w:rPr>
                <w:sz w:val="20"/>
                <w:szCs w:val="20"/>
                <w:rtl w:val="0"/>
              </w:rPr>
              <w:t xml:space="preserve">Лауазымы (лауазымға тағайындалу туралы бұйрық мерзімі және нөмірі)</w:t>
            </w:r>
          </w:p>
        </w:tc>
        <w:tc>
          <w:tcPr>
            <w:shd w:fill="auto" w:val="clear"/>
          </w:tcPr>
          <w:p w:rsidR="00000000" w:rsidDel="00000000" w:rsidP="00000000" w:rsidRDefault="00000000" w:rsidRPr="00000000" w14:paraId="00000013">
            <w:pPr>
              <w:jc w:val="both"/>
              <w:rPr>
                <w:sz w:val="20"/>
                <w:szCs w:val="20"/>
              </w:rPr>
            </w:pPr>
            <w:bookmarkStart w:colFirst="0" w:colLast="0" w:name="_heading=h.10pqykc253c0" w:id="0"/>
            <w:bookmarkEnd w:id="0"/>
            <w:r w:rsidDel="00000000" w:rsidR="00000000" w:rsidRPr="00000000">
              <w:rPr>
                <w:sz w:val="20"/>
                <w:szCs w:val="20"/>
                <w:rtl w:val="0"/>
              </w:rPr>
              <w:t xml:space="preserve">Іргелі медицина кафедрасының меңгерушісі қызметі, Бұйрық №-3-4163 11.10.2018ж. (2019, 2020, 2021, 2022, 2023, 2024 жылдар) Іргелі медицина кафедрасының доцент м.а., Бұйрық №-3-3911 26.09.2024ж. </w:t>
            </w:r>
          </w:p>
        </w:tc>
      </w:tr>
      <w:tr>
        <w:trPr>
          <w:cantSplit w:val="0"/>
          <w:tblHeader w:val="0"/>
        </w:trPr>
        <w:tc>
          <w:tcPr>
            <w:shd w:fill="auto" w:val="clear"/>
          </w:tcPr>
          <w:p w:rsidR="00000000" w:rsidDel="00000000" w:rsidP="00000000" w:rsidRDefault="00000000" w:rsidRPr="00000000" w14:paraId="00000014">
            <w:pPr>
              <w:rPr>
                <w:sz w:val="20"/>
                <w:szCs w:val="20"/>
              </w:rPr>
            </w:pPr>
            <w:r w:rsidDel="00000000" w:rsidR="00000000" w:rsidRPr="00000000">
              <w:rPr>
                <w:sz w:val="20"/>
                <w:szCs w:val="20"/>
                <w:rtl w:val="0"/>
              </w:rPr>
              <w:t xml:space="preserve">6</w:t>
            </w:r>
          </w:p>
        </w:tc>
        <w:tc>
          <w:tcPr>
            <w:shd w:fill="auto" w:val="clear"/>
          </w:tcPr>
          <w:p w:rsidR="00000000" w:rsidDel="00000000" w:rsidP="00000000" w:rsidRDefault="00000000" w:rsidRPr="00000000" w14:paraId="00000015">
            <w:pPr>
              <w:jc w:val="both"/>
              <w:rPr>
                <w:sz w:val="20"/>
                <w:szCs w:val="20"/>
              </w:rPr>
            </w:pPr>
            <w:r w:rsidDel="00000000" w:rsidR="00000000" w:rsidRPr="00000000">
              <w:rPr>
                <w:sz w:val="20"/>
                <w:szCs w:val="20"/>
                <w:rtl w:val="0"/>
              </w:rPr>
              <w:t xml:space="preserve">Ғылыми, ғылыми-педагогикалық жұмыс өтілі</w:t>
            </w:r>
          </w:p>
        </w:tc>
        <w:tc>
          <w:tcPr>
            <w:shd w:fill="auto" w:val="clear"/>
          </w:tcPr>
          <w:p w:rsidR="00000000" w:rsidDel="00000000" w:rsidP="00000000" w:rsidRDefault="00000000" w:rsidRPr="00000000" w14:paraId="00000016">
            <w:pPr>
              <w:jc w:val="both"/>
              <w:rPr>
                <w:sz w:val="20"/>
                <w:szCs w:val="20"/>
              </w:rPr>
            </w:pPr>
            <w:r w:rsidDel="00000000" w:rsidR="00000000" w:rsidRPr="00000000">
              <w:rPr>
                <w:sz w:val="20"/>
                <w:szCs w:val="20"/>
                <w:rtl w:val="0"/>
              </w:rPr>
              <w:t xml:space="preserve">Барлығы 29 жыл, оның ішінде доцент м.а. лауазымда 7 жыл.</w:t>
            </w:r>
          </w:p>
        </w:tc>
      </w:tr>
      <w:tr>
        <w:trPr>
          <w:cantSplit w:val="0"/>
          <w:tblHeader w:val="0"/>
        </w:trPr>
        <w:tc>
          <w:tcPr>
            <w:shd w:fill="auto" w:val="clear"/>
          </w:tcPr>
          <w:p w:rsidR="00000000" w:rsidDel="00000000" w:rsidP="00000000" w:rsidRDefault="00000000" w:rsidRPr="00000000" w14:paraId="00000017">
            <w:pPr>
              <w:rPr>
                <w:sz w:val="20"/>
                <w:szCs w:val="20"/>
              </w:rPr>
            </w:pPr>
            <w:r w:rsidDel="00000000" w:rsidR="00000000" w:rsidRPr="00000000">
              <w:rPr>
                <w:sz w:val="20"/>
                <w:szCs w:val="20"/>
                <w:rtl w:val="0"/>
              </w:rPr>
              <w:t xml:space="preserve">7</w:t>
            </w:r>
          </w:p>
        </w:tc>
        <w:tc>
          <w:tcPr>
            <w:shd w:fill="auto" w:val="clear"/>
          </w:tcPr>
          <w:p w:rsidR="00000000" w:rsidDel="00000000" w:rsidP="00000000" w:rsidRDefault="00000000" w:rsidRPr="00000000" w14:paraId="00000018">
            <w:pPr>
              <w:jc w:val="both"/>
              <w:rPr>
                <w:sz w:val="20"/>
                <w:szCs w:val="20"/>
              </w:rPr>
            </w:pPr>
            <w:r w:rsidDel="00000000" w:rsidR="00000000" w:rsidRPr="00000000">
              <w:rPr>
                <w:sz w:val="20"/>
                <w:szCs w:val="20"/>
                <w:rtl w:val="0"/>
              </w:rPr>
              <w:t xml:space="preserve">Диссертация қорғағаннан/қауымдастырылған профессор (доцент) ғылыми атағын алғаннан кейінгі ғылыми мақалалар, шығармашылық еңбектер саны</w:t>
            </w:r>
          </w:p>
        </w:tc>
        <w:tc>
          <w:tcPr>
            <w:shd w:fill="auto" w:val="clear"/>
          </w:tcPr>
          <w:p w:rsidR="00000000" w:rsidDel="00000000" w:rsidP="00000000" w:rsidRDefault="00000000" w:rsidRPr="00000000" w14:paraId="00000019">
            <w:pPr>
              <w:jc w:val="both"/>
              <w:rPr>
                <w:sz w:val="20"/>
                <w:szCs w:val="20"/>
              </w:rPr>
            </w:pPr>
            <w:r w:rsidDel="00000000" w:rsidR="00000000" w:rsidRPr="00000000">
              <w:rPr>
                <w:sz w:val="20"/>
                <w:szCs w:val="20"/>
                <w:rtl w:val="0"/>
              </w:rPr>
              <w:t xml:space="preserve">Б</w:t>
            </w:r>
            <w:r w:rsidDel="00000000" w:rsidR="00000000" w:rsidRPr="00000000">
              <w:rPr>
                <w:sz w:val="20"/>
                <w:szCs w:val="20"/>
                <w:rtl w:val="0"/>
              </w:rPr>
              <w:t xml:space="preserve">арлығы 15, ҚР уәкілетті орган ұсынатын басылымдарда 9,Clarivate Analytics (Кларивэйт Аналитикс) (Web of Science Core Collection, Clarivate Analytics (Вэб оф Сайнс Кор Коллекшн, Кларивэйт Аналитикс)) компаниясының ақпараттық базасына процентилі 35-тен төмен емес 4 және 35-тен төмен -2, Scopus (Скопус) не JSTOR (ДЖЕЙСТОР) базалардағы ғылыми журналдарда . </w:t>
            </w:r>
          </w:p>
        </w:tc>
      </w:tr>
      <w:tr>
        <w:trPr>
          <w:cantSplit w:val="0"/>
          <w:tblHeader w:val="0"/>
        </w:trPr>
        <w:tc>
          <w:tcPr>
            <w:shd w:fill="auto" w:val="clear"/>
          </w:tcPr>
          <w:p w:rsidR="00000000" w:rsidDel="00000000" w:rsidP="00000000" w:rsidRDefault="00000000" w:rsidRPr="00000000" w14:paraId="0000001A">
            <w:pPr>
              <w:rPr>
                <w:sz w:val="20"/>
                <w:szCs w:val="20"/>
              </w:rPr>
            </w:pPr>
            <w:r w:rsidDel="00000000" w:rsidR="00000000" w:rsidRPr="00000000">
              <w:rPr>
                <w:sz w:val="20"/>
                <w:szCs w:val="20"/>
                <w:rtl w:val="0"/>
              </w:rPr>
              <w:t xml:space="preserve">8</w:t>
            </w:r>
          </w:p>
        </w:tc>
        <w:tc>
          <w:tcPr>
            <w:shd w:fill="auto" w:val="clear"/>
          </w:tcPr>
          <w:p w:rsidR="00000000" w:rsidDel="00000000" w:rsidP="00000000" w:rsidRDefault="00000000" w:rsidRPr="00000000" w14:paraId="0000001B">
            <w:pPr>
              <w:jc w:val="both"/>
              <w:rPr>
                <w:sz w:val="20"/>
                <w:szCs w:val="20"/>
              </w:rPr>
            </w:pPr>
            <w:r w:rsidDel="00000000" w:rsidR="00000000" w:rsidRPr="00000000">
              <w:rPr>
                <w:sz w:val="20"/>
                <w:szCs w:val="20"/>
                <w:rtl w:val="0"/>
              </w:rPr>
              <w:t xml:space="preserve">Соңғы 5 жылда басылған монографиялар, оқулықтар, жеке жазылған оқу (оқу-әдістемелік) құралдар саны</w:t>
            </w:r>
          </w:p>
        </w:tc>
        <w:tc>
          <w:tcPr>
            <w:shd w:fill="auto" w:val="clear"/>
          </w:tcPr>
          <w:p w:rsidR="00000000" w:rsidDel="00000000" w:rsidP="00000000" w:rsidRDefault="00000000" w:rsidRPr="00000000" w14:paraId="0000001C">
            <w:pPr>
              <w:jc w:val="both"/>
              <w:rPr>
                <w:sz w:val="20"/>
                <w:szCs w:val="20"/>
                <w:highlight w:val="yellow"/>
              </w:rPr>
            </w:pPr>
            <w:r w:rsidDel="00000000" w:rsidR="00000000" w:rsidRPr="00000000">
              <w:rPr>
                <w:sz w:val="20"/>
                <w:szCs w:val="20"/>
                <w:rtl w:val="0"/>
              </w:rPr>
              <w:t xml:space="preserve">Монография «</w:t>
            </w:r>
            <w:r w:rsidDel="00000000" w:rsidR="00000000" w:rsidRPr="00000000">
              <w:rPr>
                <w:sz w:val="20"/>
                <w:szCs w:val="20"/>
                <w:rtl w:val="0"/>
              </w:rPr>
              <w:t xml:space="preserve">Возможности фито препаратов в коррекции повреждений органов- мишеней при воздействии урановой пыли</w:t>
            </w:r>
            <w:r w:rsidDel="00000000" w:rsidR="00000000" w:rsidRPr="00000000">
              <w:rPr>
                <w:sz w:val="20"/>
                <w:szCs w:val="20"/>
                <w:rtl w:val="0"/>
              </w:rPr>
              <w:t xml:space="preserve">». Алматы: Қазақ университеті, 2025.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D">
            <w:pPr>
              <w:rPr>
                <w:sz w:val="20"/>
                <w:szCs w:val="20"/>
              </w:rPr>
            </w:pPr>
            <w:r w:rsidDel="00000000" w:rsidR="00000000" w:rsidRPr="00000000">
              <w:rPr>
                <w:sz w:val="20"/>
                <w:szCs w:val="20"/>
                <w:rtl w:val="0"/>
              </w:rPr>
              <w:t xml:space="preserve">9</w:t>
            </w:r>
          </w:p>
        </w:tc>
        <w:tc>
          <w:tcPr>
            <w:shd w:fill="auto" w:val="clear"/>
          </w:tcPr>
          <w:p w:rsidR="00000000" w:rsidDel="00000000" w:rsidP="00000000" w:rsidRDefault="00000000" w:rsidRPr="00000000" w14:paraId="0000001E">
            <w:pPr>
              <w:tabs>
                <w:tab w:val="left" w:leader="none" w:pos="480"/>
              </w:tabs>
              <w:jc w:val="both"/>
              <w:rPr>
                <w:sz w:val="20"/>
                <w:szCs w:val="20"/>
              </w:rPr>
            </w:pPr>
            <w:r w:rsidDel="00000000" w:rsidR="00000000" w:rsidRPr="00000000">
              <w:rPr>
                <w:sz w:val="20"/>
                <w:szCs w:val="20"/>
                <w:rtl w:val="0"/>
              </w:rPr>
              <w:t xml:space="preserve">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w:t>
            </w:r>
          </w:p>
        </w:tc>
        <w:tc>
          <w:tcPr>
            <w:shd w:fill="auto" w:val="clear"/>
          </w:tcPr>
          <w:p w:rsidR="00000000" w:rsidDel="00000000" w:rsidP="00000000" w:rsidRDefault="00000000" w:rsidRPr="00000000" w14:paraId="0000001F">
            <w:pPr>
              <w:jc w:val="both"/>
              <w:rPr>
                <w:sz w:val="20"/>
                <w:szCs w:val="20"/>
              </w:rPr>
            </w:pPr>
            <w:r w:rsidDel="00000000" w:rsidR="00000000" w:rsidRPr="00000000">
              <w:rPr>
                <w:sz w:val="20"/>
                <w:szCs w:val="20"/>
                <w:rtl w:val="0"/>
              </w:rPr>
              <w:t xml:space="preserve">Жоқ</w:t>
            </w:r>
          </w:p>
        </w:tc>
      </w:tr>
      <w:tr>
        <w:trPr>
          <w:cantSplit w:val="0"/>
          <w:tblHeader w:val="0"/>
        </w:trPr>
        <w:tc>
          <w:tcPr>
            <w:shd w:fill="auto" w:val="clear"/>
          </w:tcPr>
          <w:p w:rsidR="00000000" w:rsidDel="00000000" w:rsidP="00000000" w:rsidRDefault="00000000" w:rsidRPr="00000000" w14:paraId="00000020">
            <w:pPr>
              <w:rPr>
                <w:sz w:val="20"/>
                <w:szCs w:val="20"/>
              </w:rPr>
            </w:pPr>
            <w:r w:rsidDel="00000000" w:rsidR="00000000" w:rsidRPr="00000000">
              <w:rPr>
                <w:sz w:val="20"/>
                <w:szCs w:val="20"/>
                <w:rtl w:val="0"/>
              </w:rPr>
              <w:t xml:space="preserve">10</w:t>
            </w:r>
          </w:p>
        </w:tc>
        <w:tc>
          <w:tcPr>
            <w:shd w:fill="auto" w:val="clear"/>
          </w:tcPr>
          <w:p w:rsidR="00000000" w:rsidDel="00000000" w:rsidP="00000000" w:rsidRDefault="00000000" w:rsidRPr="00000000" w14:paraId="00000021">
            <w:pPr>
              <w:jc w:val="both"/>
              <w:rPr>
                <w:sz w:val="20"/>
                <w:szCs w:val="20"/>
              </w:rPr>
            </w:pPr>
            <w:r w:rsidDel="00000000" w:rsidR="00000000" w:rsidRPr="00000000">
              <w:rPr>
                <w:sz w:val="20"/>
                <w:szCs w:val="20"/>
                <w:rtl w:val="0"/>
              </w:rPr>
              <w:t xml:space="preserve">Оның жетекшілігімен даярланған республикалық, халықаралық, шетелдік конкурстардың, көрмелердің, фестивальдардың, сыйлықтардың, олимпиадалардың лауреаттары, жүлдегерлері</w:t>
            </w:r>
          </w:p>
        </w:tc>
        <w:tc>
          <w:tcPr>
            <w:shd w:fill="auto" w:val="clear"/>
          </w:tcPr>
          <w:p w:rsidR="00000000" w:rsidDel="00000000" w:rsidP="00000000" w:rsidRDefault="00000000" w:rsidRPr="00000000" w14:paraId="00000022">
            <w:pPr>
              <w:jc w:val="both"/>
              <w:rPr>
                <w:sz w:val="20"/>
                <w:szCs w:val="20"/>
              </w:rPr>
            </w:pPr>
            <w:r w:rsidDel="00000000" w:rsidR="00000000" w:rsidRPr="00000000">
              <w:rPr>
                <w:sz w:val="20"/>
                <w:szCs w:val="20"/>
                <w:rtl w:val="0"/>
              </w:rPr>
              <w:t xml:space="preserve">Жоқ</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3">
            <w:pPr>
              <w:rPr>
                <w:sz w:val="20"/>
                <w:szCs w:val="20"/>
              </w:rPr>
            </w:pPr>
            <w:r w:rsidDel="00000000" w:rsidR="00000000" w:rsidRPr="00000000">
              <w:rPr>
                <w:sz w:val="20"/>
                <w:szCs w:val="20"/>
                <w:rtl w:val="0"/>
              </w:rPr>
              <w:t xml:space="preserve">11</w:t>
            </w:r>
          </w:p>
        </w:tc>
        <w:tc>
          <w:tcPr>
            <w:shd w:fill="auto" w:val="clear"/>
          </w:tcPr>
          <w:p w:rsidR="00000000" w:rsidDel="00000000" w:rsidP="00000000" w:rsidRDefault="00000000" w:rsidRPr="00000000" w14:paraId="00000024">
            <w:pPr>
              <w:jc w:val="both"/>
              <w:rPr>
                <w:sz w:val="20"/>
                <w:szCs w:val="20"/>
              </w:rPr>
            </w:pPr>
            <w:r w:rsidDel="00000000" w:rsidR="00000000" w:rsidRPr="00000000">
              <w:rPr>
                <w:sz w:val="20"/>
                <w:szCs w:val="20"/>
                <w:rtl w:val="0"/>
              </w:rPr>
              <w:t xml:space="preserve">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w:t>
            </w:r>
          </w:p>
        </w:tc>
        <w:tc>
          <w:tcPr>
            <w:shd w:fill="auto" w:val="clear"/>
          </w:tcPr>
          <w:p w:rsidR="00000000" w:rsidDel="00000000" w:rsidP="00000000" w:rsidRDefault="00000000" w:rsidRPr="00000000" w14:paraId="00000025">
            <w:pPr>
              <w:jc w:val="both"/>
              <w:rPr>
                <w:sz w:val="20"/>
                <w:szCs w:val="20"/>
              </w:rPr>
            </w:pPr>
            <w:r w:rsidDel="00000000" w:rsidR="00000000" w:rsidRPr="00000000">
              <w:rPr>
                <w:sz w:val="20"/>
                <w:szCs w:val="20"/>
                <w:rtl w:val="0"/>
              </w:rPr>
              <w:t xml:space="preserve">Жоқ</w:t>
            </w:r>
          </w:p>
        </w:tc>
      </w:tr>
      <w:tr>
        <w:trPr>
          <w:cantSplit w:val="0"/>
          <w:tblHeader w:val="0"/>
        </w:trPr>
        <w:tc>
          <w:tcPr>
            <w:shd w:fill="auto" w:val="clear"/>
          </w:tcPr>
          <w:p w:rsidR="00000000" w:rsidDel="00000000" w:rsidP="00000000" w:rsidRDefault="00000000" w:rsidRPr="00000000" w14:paraId="00000026">
            <w:pPr>
              <w:rPr>
                <w:sz w:val="20"/>
                <w:szCs w:val="20"/>
              </w:rPr>
            </w:pPr>
            <w:r w:rsidDel="00000000" w:rsidR="00000000" w:rsidRPr="00000000">
              <w:rPr>
                <w:sz w:val="20"/>
                <w:szCs w:val="20"/>
                <w:rtl w:val="0"/>
              </w:rPr>
              <w:t xml:space="preserve">12</w:t>
            </w:r>
          </w:p>
        </w:tc>
        <w:tc>
          <w:tcPr>
            <w:shd w:fill="auto" w:val="clear"/>
          </w:tcPr>
          <w:p w:rsidR="00000000" w:rsidDel="00000000" w:rsidP="00000000" w:rsidRDefault="00000000" w:rsidRPr="00000000" w14:paraId="00000027">
            <w:pPr>
              <w:jc w:val="both"/>
              <w:rPr>
                <w:sz w:val="20"/>
                <w:szCs w:val="20"/>
              </w:rPr>
            </w:pPr>
            <w:r w:rsidDel="00000000" w:rsidR="00000000" w:rsidRPr="00000000">
              <w:rPr>
                <w:sz w:val="20"/>
                <w:szCs w:val="20"/>
                <w:rtl w:val="0"/>
              </w:rPr>
              <w:t xml:space="preserve">Қосымша ақпарат</w:t>
            </w:r>
          </w:p>
        </w:tc>
        <w:tc>
          <w:tcPr>
            <w:shd w:fill="auto" w:val="clea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A">
      <w:pPr>
        <w:jc w:val="both"/>
        <w:rPr/>
      </w:pPr>
      <w:r w:rsidDel="00000000" w:rsidR="00000000" w:rsidRPr="00000000">
        <w:rPr>
          <w:rtl w:val="0"/>
        </w:rPr>
        <w:t xml:space="preserve">             </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ind w:left="567" w:hanging="567"/>
        <w:rPr>
          <w:b w:val="1"/>
        </w:rPr>
      </w:pPr>
      <w:r w:rsidDel="00000000" w:rsidR="00000000" w:rsidRPr="00000000">
        <w:rPr>
          <w:b w:val="1"/>
          <w:rtl w:val="0"/>
        </w:rPr>
        <w:t xml:space="preserve">Іргелі медицина кафедрасының меңгерушісі                                                  </w:t>
        <w:tab/>
        <w:t xml:space="preserve">А.М. Сейталиева</w:t>
      </w:r>
    </w:p>
    <w:sectPr>
      <w:pgSz w:h="16838" w:w="11906" w:orient="portrait"/>
      <w:pgMar w:bottom="851" w:top="851" w:left="1134"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856B30"/>
    <w:pPr>
      <w:suppressAutoHyphens w:val="1"/>
      <w:spacing w:after="0" w:line="240" w:lineRule="auto"/>
    </w:pPr>
    <w:rPr>
      <w:rFonts w:ascii="Times New Roman" w:cs="Times New Roman" w:eastAsia="Times New Roman" w:hAnsi="Times New Roman"/>
      <w:sz w:val="24"/>
      <w:szCs w:val="24"/>
      <w:lang w:eastAsia="ar-SA"/>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856B30"/>
    <w:pPr>
      <w:ind w:left="720"/>
      <w:contextualSpacing w:val="1"/>
    </w:pPr>
  </w:style>
  <w:style w:type="character" w:styleId="s1" w:customStyle="1">
    <w:name w:val="s1"/>
    <w:rsid w:val="00876203"/>
    <w:rPr>
      <w:rFonts w:ascii="Times New Roman" w:cs="Times New Roman" w:hAnsi="Times New Roman" w:hint="default"/>
      <w:b w:val="1"/>
      <w:bCs w:val="1"/>
      <w:color w:val="00000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gnaGOhgoeBZpP74bqMdqjnP0ew==">CgMxLjAyDmguMTBwcXlrYzI1M2MwOAByITFmd1liQ1kwa0VueFlKemFLVTJoaW1ncUhja0ZJOFVIWA==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2025-04-09T18:55:00Z</dcterms:created>
  <dc:creator>User</dc:creator>
</cp:coreProperties>
</file>